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560C39" w:rsidRDefault="00560C39"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sectPr w:rsidR="00975121" w:rsidSect="00004582">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pP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p>
    <w:p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5CAB8864" wp14:editId="3B9C57A5">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13E8FDC"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8945A4" w:rsidRDefault="00560C39" w:rsidP="00560C39">
      <w:pPr>
        <w:tabs>
          <w:tab w:val="left" w:pos="1701"/>
          <w:tab w:val="left" w:pos="3969"/>
        </w:tabs>
        <w:spacing w:before="0" w:line="276" w:lineRule="auto"/>
        <w:ind w:left="1134"/>
      </w:pPr>
    </w:p>
    <w:p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77DB1D52" wp14:editId="2C00BE76">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2D09ED"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33978F75" wp14:editId="58674622">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62BFF55"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82" w:rsidRDefault="00691182" w:rsidP="000568CD">
      <w:r>
        <w:separator/>
      </w:r>
    </w:p>
  </w:endnote>
  <w:endnote w:type="continuationSeparator" w:id="0">
    <w:p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A87FA7">
                            <w:rPr>
                              <w:rFonts w:eastAsia="Times New Roman"/>
                              <w:color w:val="324B6B" w:themeColor="text2"/>
                              <w:sz w:val="13"/>
                              <w:szCs w:val="13"/>
                              <w:lang w:eastAsia="fr-FR"/>
                            </w:rPr>
                            <w:t xml:space="preserve">63 161 449,60 </w:t>
                          </w:r>
                          <w:bookmarkStart w:id="0" w:name="_GoBack"/>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A87FA7">
                      <w:rPr>
                        <w:rFonts w:eastAsia="Times New Roman"/>
                        <w:color w:val="324B6B" w:themeColor="text2"/>
                        <w:sz w:val="13"/>
                        <w:szCs w:val="13"/>
                        <w:lang w:eastAsia="fr-FR"/>
                      </w:rPr>
                      <w:t xml:space="preserve">63 161 449,60 </w:t>
                    </w:r>
                    <w:bookmarkStart w:id="1" w:name="_GoBack"/>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A87FA7">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A87FA7">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A87FA7">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A87FA7">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82" w:rsidRDefault="00691182" w:rsidP="000568CD">
      <w:r>
        <w:separator/>
      </w:r>
    </w:p>
  </w:footnote>
  <w:footnote w:type="continuationSeparator" w:id="0">
    <w:p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4BACB290" wp14:editId="3B4B1096">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3871E75D" wp14:editId="04C5B048">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871E75D"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" filled="f" stroked="f" strokeweight=".5pt">
              <v:textbo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420054"/>
    <w:rsid w:val="0043690C"/>
    <w:rsid w:val="00445D71"/>
    <w:rsid w:val="00456BF9"/>
    <w:rsid w:val="00461D49"/>
    <w:rsid w:val="00466E15"/>
    <w:rsid w:val="004808A7"/>
    <w:rsid w:val="00484176"/>
    <w:rsid w:val="004C2E1D"/>
    <w:rsid w:val="004D6A81"/>
    <w:rsid w:val="00506B52"/>
    <w:rsid w:val="00511FBA"/>
    <w:rsid w:val="005509E4"/>
    <w:rsid w:val="00560C39"/>
    <w:rsid w:val="005B540B"/>
    <w:rsid w:val="005D5252"/>
    <w:rsid w:val="005F56C2"/>
    <w:rsid w:val="00615ACD"/>
    <w:rsid w:val="00623A67"/>
    <w:rsid w:val="00631595"/>
    <w:rsid w:val="00651C0B"/>
    <w:rsid w:val="00655764"/>
    <w:rsid w:val="00656044"/>
    <w:rsid w:val="00691182"/>
    <w:rsid w:val="006B532E"/>
    <w:rsid w:val="007020FA"/>
    <w:rsid w:val="00735E88"/>
    <w:rsid w:val="007D5C2C"/>
    <w:rsid w:val="007E41C0"/>
    <w:rsid w:val="007F060C"/>
    <w:rsid w:val="00812A72"/>
    <w:rsid w:val="00817948"/>
    <w:rsid w:val="00845801"/>
    <w:rsid w:val="00854B9C"/>
    <w:rsid w:val="00862C3C"/>
    <w:rsid w:val="00877748"/>
    <w:rsid w:val="008D281D"/>
    <w:rsid w:val="008E7C22"/>
    <w:rsid w:val="008F7379"/>
    <w:rsid w:val="009059A4"/>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87FA7"/>
    <w:rsid w:val="00A90BC4"/>
    <w:rsid w:val="00AB1D3B"/>
    <w:rsid w:val="00AB2DB4"/>
    <w:rsid w:val="00AD1A27"/>
    <w:rsid w:val="00AD57A9"/>
    <w:rsid w:val="00AD5D97"/>
    <w:rsid w:val="00B06932"/>
    <w:rsid w:val="00B63147"/>
    <w:rsid w:val="00B80124"/>
    <w:rsid w:val="00BA1766"/>
    <w:rsid w:val="00BB46DE"/>
    <w:rsid w:val="00BC252C"/>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08A3"/>
    <w:rsid w:val="00D84B9C"/>
    <w:rsid w:val="00D87FB0"/>
    <w:rsid w:val="00D9408C"/>
    <w:rsid w:val="00DA6630"/>
    <w:rsid w:val="00DC759E"/>
    <w:rsid w:val="00DF50D3"/>
    <w:rsid w:val="00E16896"/>
    <w:rsid w:val="00E16D8E"/>
    <w:rsid w:val="00E3703F"/>
    <w:rsid w:val="00E408E8"/>
    <w:rsid w:val="00E77226"/>
    <w:rsid w:val="00E82239"/>
    <w:rsid w:val="00EA781D"/>
    <w:rsid w:val="00EC205E"/>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FF8169-9E08-4FFD-8C2A-A816102BA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189</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2024-03-13T15:50:00Z</dcterms:created>
  <dcterms:modified xsi:type="dcterms:W3CDTF">2024-03-13T15:51:00Z</dcterms:modified>
</cp:coreProperties>
</file>